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D2F81" w14:textId="77777777" w:rsidR="00984446" w:rsidRPr="007C1E5A" w:rsidRDefault="00984446" w:rsidP="00984446">
      <w:pPr>
        <w:ind w:left="5102"/>
        <w:rPr>
          <w:color w:val="FF0000"/>
        </w:rPr>
      </w:pPr>
      <w:r w:rsidRPr="007C1E5A">
        <w:t>Vietos projektų finansavimo sąlygų aprašo VPS priemonės „Vietos iniciatyvų ir partnerystės stiprinimas“ veiklos srities „Parama jaunimo iniciatyvų skatinimui ir motyvacijos didinimui“</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73378A61"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8441F5">
        <w:rPr>
          <w:szCs w:val="24"/>
        </w:rPr>
        <w:t>20</w:t>
      </w:r>
      <w:r w:rsidR="00123D89" w:rsidRPr="008441F5">
        <w:rPr>
          <w:szCs w:val="24"/>
        </w:rPr>
        <w:t>2</w:t>
      </w:r>
      <w:r w:rsidR="00E04212" w:rsidRPr="008441F5">
        <w:rPr>
          <w:szCs w:val="24"/>
        </w:rPr>
        <w:t>2</w:t>
      </w:r>
      <w:r w:rsidR="008858B0" w:rsidRPr="008441F5">
        <w:rPr>
          <w:szCs w:val="24"/>
        </w:rPr>
        <w:t xml:space="preserve"> </w:t>
      </w:r>
      <w:r w:rsidR="00431641" w:rsidRPr="008441F5">
        <w:rPr>
          <w:szCs w:val="24"/>
        </w:rPr>
        <w:t xml:space="preserve"> m.</w:t>
      </w:r>
      <w:r w:rsidR="003218CE" w:rsidRPr="008441F5">
        <w:rPr>
          <w:szCs w:val="24"/>
        </w:rPr>
        <w:t xml:space="preserve"> </w:t>
      </w:r>
      <w:r w:rsidR="00E04212" w:rsidRPr="008441F5">
        <w:rPr>
          <w:szCs w:val="24"/>
        </w:rPr>
        <w:t>sausi</w:t>
      </w:r>
      <w:r w:rsidR="003218CE" w:rsidRPr="008441F5">
        <w:rPr>
          <w:szCs w:val="24"/>
        </w:rPr>
        <w:t>o</w:t>
      </w:r>
      <w:r w:rsidR="00CD34EC" w:rsidRPr="008441F5">
        <w:rPr>
          <w:szCs w:val="24"/>
        </w:rPr>
        <w:t xml:space="preserve"> </w:t>
      </w:r>
      <w:r w:rsidR="00E04212" w:rsidRPr="008441F5">
        <w:rPr>
          <w:szCs w:val="24"/>
        </w:rPr>
        <w:t>3</w:t>
      </w:r>
      <w:r w:rsidR="003218CE" w:rsidRPr="008441F5">
        <w:rPr>
          <w:szCs w:val="24"/>
        </w:rPr>
        <w:t>1</w:t>
      </w:r>
      <w:r w:rsidR="00E1618B" w:rsidRPr="008441F5">
        <w:rPr>
          <w:szCs w:val="24"/>
        </w:rPr>
        <w:t xml:space="preserve"> </w:t>
      </w:r>
      <w:r w:rsidR="00431641" w:rsidRPr="008441F5">
        <w:rPr>
          <w:szCs w:val="24"/>
        </w:rPr>
        <w:t>d. sprendimu Nr.</w:t>
      </w:r>
      <w:r w:rsidR="00CD34EC" w:rsidRPr="008441F5">
        <w:rPr>
          <w:szCs w:val="24"/>
        </w:rPr>
        <w:t xml:space="preserve"> </w:t>
      </w:r>
      <w:r w:rsidR="0074633C" w:rsidRPr="008441F5">
        <w:rPr>
          <w:szCs w:val="24"/>
        </w:rPr>
        <w:t>VNS-</w:t>
      </w:r>
      <w:r w:rsidR="008441F5">
        <w:rPr>
          <w:szCs w:val="24"/>
        </w:rPr>
        <w:t>1</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0" w:name="OLE_LINK5"/>
      <w:bookmarkStart w:id="1"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0"/>
      <w:bookmarkEnd w:id="1"/>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36E" w14:textId="77777777" w:rsidR="00FA4EDC" w:rsidRDefault="00FA4EDC">
      <w:r>
        <w:separator/>
      </w:r>
    </w:p>
  </w:endnote>
  <w:endnote w:type="continuationSeparator" w:id="0">
    <w:p w14:paraId="0262ED7C" w14:textId="77777777" w:rsidR="00FA4EDC" w:rsidRDefault="00F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219F" w14:textId="77777777" w:rsidR="00FA4EDC" w:rsidRDefault="00FA4EDC">
      <w:r>
        <w:separator/>
      </w:r>
    </w:p>
  </w:footnote>
  <w:footnote w:type="continuationSeparator" w:id="0">
    <w:p w14:paraId="755F3CB7" w14:textId="77777777" w:rsidR="00FA4EDC" w:rsidRDefault="00FA4EDC">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218CE">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8CE"/>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8D"/>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1F5"/>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39C"/>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4ED8"/>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4212"/>
    <w:rsid w:val="00E05AA0"/>
    <w:rsid w:val="00E07FED"/>
    <w:rsid w:val="00E10449"/>
    <w:rsid w:val="00E1249D"/>
    <w:rsid w:val="00E1618B"/>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4ED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5493FD-A70E-44F7-993F-AFE0357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4390</Words>
  <Characters>25025</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Lenovo</cp:lastModifiedBy>
  <cp:revision>18</cp:revision>
  <cp:lastPrinted>2009-04-27T09:33:00Z</cp:lastPrinted>
  <dcterms:created xsi:type="dcterms:W3CDTF">2017-10-25T08:22:00Z</dcterms:created>
  <dcterms:modified xsi:type="dcterms:W3CDTF">2022-01-27T08:21:00Z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